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E" w:rsidRDefault="00C235AE" w:rsidP="00C235AE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  <w:r w:rsidR="00A94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71F3E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C235AE">
        <w:rPr>
          <w:rFonts w:ascii="Times New Roman" w:hAnsi="Times New Roman" w:cs="Times New Roman"/>
        </w:rPr>
        <w:t>январе-</w:t>
      </w:r>
      <w:r w:rsidR="0065215B">
        <w:rPr>
          <w:rFonts w:ascii="Times New Roman" w:hAnsi="Times New Roman" w:cs="Times New Roman"/>
        </w:rPr>
        <w:t>апрел</w:t>
      </w:r>
      <w:r w:rsidR="00F35A05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 w:rsidR="00D90ABF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 w:rsidR="00C235AE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 </w:t>
      </w:r>
      <w:r w:rsidR="0065215B">
        <w:rPr>
          <w:rFonts w:ascii="Times New Roman" w:hAnsi="Times New Roman" w:cs="Times New Roman"/>
        </w:rPr>
        <w:t>104</w:t>
      </w:r>
      <w:r w:rsidR="00D5750D">
        <w:rPr>
          <w:rFonts w:ascii="Times New Roman" w:hAnsi="Times New Roman" w:cs="Times New Roman"/>
        </w:rPr>
        <w:t>,</w:t>
      </w:r>
      <w:r w:rsidR="0065215B"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9FA">
        <w:rPr>
          <w:rFonts w:ascii="Times New Roman" w:hAnsi="Times New Roman" w:cs="Times New Roman"/>
        </w:rPr>
        <w:t>млрд</w:t>
      </w:r>
      <w:proofErr w:type="spellEnd"/>
      <w:proofErr w:type="gramEnd"/>
      <w:r w:rsidR="009A50B7">
        <w:rPr>
          <w:rFonts w:ascii="Times New Roman" w:hAnsi="Times New Roman" w:cs="Times New Roman"/>
        </w:rPr>
        <w:t xml:space="preserve"> </w:t>
      </w:r>
      <w:r w:rsidR="00C235AE">
        <w:rPr>
          <w:rFonts w:ascii="Times New Roman" w:hAnsi="Times New Roman" w:cs="Times New Roman"/>
        </w:rPr>
        <w:t>рублей</w:t>
      </w:r>
      <w:r w:rsidR="00A714E1">
        <w:rPr>
          <w:rFonts w:ascii="Times New Roman" w:hAnsi="Times New Roman" w:cs="Times New Roman"/>
        </w:rPr>
        <w:t xml:space="preserve">, </w:t>
      </w:r>
      <w:r w:rsidR="00A455B2">
        <w:rPr>
          <w:rFonts w:ascii="Times New Roman" w:hAnsi="Times New Roman" w:cs="Times New Roman"/>
        </w:rPr>
        <w:br/>
      </w:r>
      <w:r w:rsidR="00265904">
        <w:rPr>
          <w:rFonts w:ascii="Times New Roman" w:hAnsi="Times New Roman" w:cs="Times New Roman"/>
        </w:rPr>
        <w:t xml:space="preserve">или </w:t>
      </w:r>
      <w:r w:rsidR="0065215B">
        <w:rPr>
          <w:rFonts w:ascii="Times New Roman" w:hAnsi="Times New Roman" w:cs="Times New Roman"/>
        </w:rPr>
        <w:t>128</w:t>
      </w:r>
      <w:r w:rsidR="00D5750D">
        <w:rPr>
          <w:rFonts w:ascii="Times New Roman" w:hAnsi="Times New Roman" w:cs="Times New Roman"/>
        </w:rPr>
        <w:t>,</w:t>
      </w:r>
      <w:r w:rsidR="0065215B">
        <w:rPr>
          <w:rFonts w:ascii="Times New Roman" w:hAnsi="Times New Roman" w:cs="Times New Roman"/>
        </w:rPr>
        <w:t>8</w:t>
      </w:r>
      <w:r w:rsidR="00C235AE"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 w:rsidR="00265904">
        <w:rPr>
          <w:rFonts w:ascii="Times New Roman" w:hAnsi="Times New Roman" w:cs="Times New Roman"/>
        </w:rPr>
        <w:t xml:space="preserve"> </w:t>
      </w:r>
      <w:r w:rsidR="00C235AE">
        <w:rPr>
          <w:rFonts w:ascii="Times New Roman" w:hAnsi="Times New Roman" w:cs="Times New Roman"/>
        </w:rPr>
        <w:t>январ</w:t>
      </w:r>
      <w:r w:rsidR="00265904">
        <w:rPr>
          <w:rFonts w:ascii="Times New Roman" w:hAnsi="Times New Roman" w:cs="Times New Roman"/>
        </w:rPr>
        <w:t>ю</w:t>
      </w:r>
      <w:r w:rsidR="00C235AE">
        <w:rPr>
          <w:rFonts w:ascii="Times New Roman" w:hAnsi="Times New Roman" w:cs="Times New Roman"/>
        </w:rPr>
        <w:t>-</w:t>
      </w:r>
      <w:r w:rsidR="0065215B">
        <w:rPr>
          <w:rFonts w:ascii="Times New Roman" w:hAnsi="Times New Roman" w:cs="Times New Roman"/>
        </w:rPr>
        <w:t>апрелю</w:t>
      </w:r>
      <w:r w:rsidRPr="00BF79FA">
        <w:rPr>
          <w:rFonts w:ascii="Times New Roman" w:hAnsi="Times New Roman" w:cs="Times New Roman"/>
        </w:rPr>
        <w:t xml:space="preserve"> 20</w:t>
      </w:r>
      <w:r w:rsidR="00D90ABF">
        <w:rPr>
          <w:rFonts w:ascii="Times New Roman" w:hAnsi="Times New Roman" w:cs="Times New Roman"/>
        </w:rPr>
        <w:t>2</w:t>
      </w:r>
      <w:r w:rsidR="00265904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г.</w:t>
      </w:r>
    </w:p>
    <w:p w:rsidR="00020CB7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020CB7" w:rsidRPr="00C235AE" w:rsidRDefault="00020CB7" w:rsidP="00020CB7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="00C235AE" w:rsidRPr="00C235AE">
        <w:rPr>
          <w:rFonts w:ascii="Times New Roman" w:hAnsi="Times New Roman"/>
          <w:b/>
          <w:sz w:val="24"/>
          <w:szCs w:val="24"/>
        </w:rPr>
        <w:br/>
      </w:r>
      <w:r w:rsidR="00C235AE"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020CB7" w:rsidRPr="00C235AE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CB7" w:rsidRDefault="00020CB7" w:rsidP="006536BB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020CB7" w:rsidRDefault="006536BB" w:rsidP="006536BB">
      <w:pPr>
        <w:spacing w:after="0" w:line="288" w:lineRule="auto"/>
        <w:ind w:left="142"/>
        <w:rPr>
          <w:rFonts w:ascii="Times New Roman" w:hAnsi="Times New Roman" w:cs="Times New Roman"/>
        </w:rPr>
      </w:pPr>
      <w:r w:rsidRPr="00BF092C">
        <w:rPr>
          <w:rFonts w:ascii="Times New Roman" w:hAnsi="Times New Roman" w:cs="Times New Roman"/>
          <w:noProof/>
        </w:rPr>
        <w:drawing>
          <wp:inline distT="0" distB="0" distL="0" distR="0">
            <wp:extent cx="5753100" cy="2628900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0CB7" w:rsidRPr="00BF79FA" w:rsidRDefault="00020CB7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376D3F" w:rsidRDefault="00020CB7" w:rsidP="005338A3">
      <w:pPr>
        <w:jc w:val="center"/>
        <w:rPr>
          <w:rFonts w:ascii="Times New Roman" w:hAnsi="Times New Roman"/>
          <w:bCs/>
          <w:sz w:val="24"/>
          <w:szCs w:val="24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 w:rsidR="00C235AE"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65215B">
        <w:rPr>
          <w:rFonts w:ascii="Times New Roman" w:hAnsi="Times New Roman"/>
          <w:b/>
          <w:bCs/>
          <w:sz w:val="24"/>
          <w:szCs w:val="24"/>
        </w:rPr>
        <w:t>апреле</w:t>
      </w:r>
      <w:r w:rsidR="00C235AE">
        <w:rPr>
          <w:rFonts w:ascii="Times New Roman" w:hAnsi="Times New Roman"/>
          <w:b/>
          <w:bCs/>
          <w:sz w:val="24"/>
          <w:szCs w:val="24"/>
        </w:rPr>
        <w:t xml:space="preserve">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</w:p>
    <w:p w:rsidR="00905CB2" w:rsidRPr="00C235AE" w:rsidRDefault="00905CB2" w:rsidP="005338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CB2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438775" cy="3533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0CB7" w:rsidRDefault="00020CB7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20CB7" w:rsidSect="00905CB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005499"/>
    <w:rsid w:val="00020CB7"/>
    <w:rsid w:val="00080BE5"/>
    <w:rsid w:val="00092FA3"/>
    <w:rsid w:val="00106C8A"/>
    <w:rsid w:val="001250B4"/>
    <w:rsid w:val="00157B66"/>
    <w:rsid w:val="00211708"/>
    <w:rsid w:val="0026052A"/>
    <w:rsid w:val="00265904"/>
    <w:rsid w:val="00285121"/>
    <w:rsid w:val="002A4FCC"/>
    <w:rsid w:val="002D53FC"/>
    <w:rsid w:val="00360B9D"/>
    <w:rsid w:val="00371F3E"/>
    <w:rsid w:val="00376D3F"/>
    <w:rsid w:val="003D7C88"/>
    <w:rsid w:val="003F0564"/>
    <w:rsid w:val="004036F3"/>
    <w:rsid w:val="00411760"/>
    <w:rsid w:val="00466047"/>
    <w:rsid w:val="00490B58"/>
    <w:rsid w:val="004C0463"/>
    <w:rsid w:val="004E7B17"/>
    <w:rsid w:val="00526516"/>
    <w:rsid w:val="005338A3"/>
    <w:rsid w:val="0055685D"/>
    <w:rsid w:val="005765BD"/>
    <w:rsid w:val="005C1C0F"/>
    <w:rsid w:val="005E4A55"/>
    <w:rsid w:val="00601BBE"/>
    <w:rsid w:val="00647472"/>
    <w:rsid w:val="0065215B"/>
    <w:rsid w:val="006536BB"/>
    <w:rsid w:val="00673142"/>
    <w:rsid w:val="006920E7"/>
    <w:rsid w:val="006A2807"/>
    <w:rsid w:val="006B6723"/>
    <w:rsid w:val="006F1BC0"/>
    <w:rsid w:val="00716FB7"/>
    <w:rsid w:val="007312B7"/>
    <w:rsid w:val="00734698"/>
    <w:rsid w:val="00783CA4"/>
    <w:rsid w:val="007B60B2"/>
    <w:rsid w:val="007E43FE"/>
    <w:rsid w:val="00871C5E"/>
    <w:rsid w:val="00874592"/>
    <w:rsid w:val="00885564"/>
    <w:rsid w:val="008A353B"/>
    <w:rsid w:val="008B4D7D"/>
    <w:rsid w:val="00905CB2"/>
    <w:rsid w:val="00970277"/>
    <w:rsid w:val="009A50B7"/>
    <w:rsid w:val="009C6ABD"/>
    <w:rsid w:val="009E6F44"/>
    <w:rsid w:val="00A07432"/>
    <w:rsid w:val="00A31229"/>
    <w:rsid w:val="00A455B2"/>
    <w:rsid w:val="00A46364"/>
    <w:rsid w:val="00A714E1"/>
    <w:rsid w:val="00A94969"/>
    <w:rsid w:val="00AA1AA0"/>
    <w:rsid w:val="00AB41ED"/>
    <w:rsid w:val="00AE0694"/>
    <w:rsid w:val="00AF4252"/>
    <w:rsid w:val="00B32D2D"/>
    <w:rsid w:val="00B33BB9"/>
    <w:rsid w:val="00B762A5"/>
    <w:rsid w:val="00B82A46"/>
    <w:rsid w:val="00B82F39"/>
    <w:rsid w:val="00B916AE"/>
    <w:rsid w:val="00BF092C"/>
    <w:rsid w:val="00BF09FA"/>
    <w:rsid w:val="00C04E06"/>
    <w:rsid w:val="00C235AE"/>
    <w:rsid w:val="00C97AA5"/>
    <w:rsid w:val="00CA4752"/>
    <w:rsid w:val="00CA7D74"/>
    <w:rsid w:val="00CE4C25"/>
    <w:rsid w:val="00CE6922"/>
    <w:rsid w:val="00D116AA"/>
    <w:rsid w:val="00D4702D"/>
    <w:rsid w:val="00D5750D"/>
    <w:rsid w:val="00D717A1"/>
    <w:rsid w:val="00D90ABF"/>
    <w:rsid w:val="00D92750"/>
    <w:rsid w:val="00DA7B0E"/>
    <w:rsid w:val="00DD7355"/>
    <w:rsid w:val="00E071D3"/>
    <w:rsid w:val="00EF40EB"/>
    <w:rsid w:val="00F35A05"/>
    <w:rsid w:val="00F45C84"/>
    <w:rsid w:val="00F5093F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410044191760482E-2"/>
          <c:y val="0"/>
          <c:w val="0.98258995580822417"/>
          <c:h val="0.704430602891056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100.7</c:v>
                </c:pt>
              </c:numCache>
            </c:numRef>
          </c:val>
        </c:ser>
        <c:marker val="1"/>
        <c:axId val="38813696"/>
        <c:axId val="38815232"/>
      </c:lineChart>
      <c:catAx>
        <c:axId val="38813696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815232"/>
        <c:crosses val="autoZero"/>
        <c:auto val="1"/>
        <c:lblAlgn val="ctr"/>
        <c:lblOffset val="100"/>
      </c:catAx>
      <c:valAx>
        <c:axId val="38815232"/>
        <c:scaling>
          <c:orientation val="minMax"/>
          <c:min val="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813696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3908"/>
          <c:w val="0.74902491067470356"/>
          <c:h val="9.1656226677735597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9556045719901625"/>
          <c:y val="4.29113353018373E-2"/>
          <c:w val="0.40004928731100031"/>
          <c:h val="0.637206482002249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4247371880616494E-2"/>
                  <c:y val="-0.27621792558948999"/>
                </c:manualLayout>
              </c:layout>
              <c:showVal val="1"/>
            </c:dLbl>
            <c:dLbl>
              <c:idx val="1"/>
              <c:layout>
                <c:manualLayout>
                  <c:x val="-5.7746092416699056E-2"/>
                  <c:y val="4.5563536605796651E-2"/>
                </c:manualLayout>
              </c:layout>
              <c:showVal val="1"/>
            </c:dLbl>
            <c:dLbl>
              <c:idx val="2"/>
              <c:layout>
                <c:manualLayout>
                  <c:x val="-8.3242484964043142E-2"/>
                  <c:y val="-6.4576701848439227E-3"/>
                </c:manualLayout>
              </c:layout>
              <c:showVal val="1"/>
            </c:dLbl>
            <c:dLbl>
              <c:idx val="3"/>
              <c:layout>
                <c:manualLayout>
                  <c:x val="-5.2020806115603288E-3"/>
                  <c:y val="-0.11509989110403747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5645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63</c:v>
                </c:pt>
                <c:pt idx="1">
                  <c:v>6.3</c:v>
                </c:pt>
                <c:pt idx="2">
                  <c:v>29.1</c:v>
                </c:pt>
                <c:pt idx="3">
                  <c:v>1.6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1669218053586856"/>
          <c:y val="0.67697847951290402"/>
          <c:w val="0.77539598119181319"/>
          <c:h val="0.32178116624310849"/>
        </c:manualLayout>
      </c:layout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310B-1FD2-4AA8-BF71-2D1780F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54</cp:revision>
  <cp:lastPrinted>2021-06-02T07:08:00Z</cp:lastPrinted>
  <dcterms:created xsi:type="dcterms:W3CDTF">2021-01-25T06:47:00Z</dcterms:created>
  <dcterms:modified xsi:type="dcterms:W3CDTF">2021-06-02T14:29:00Z</dcterms:modified>
</cp:coreProperties>
</file>